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0" w:firstLineChars="0"/>
        <w:rPr>
          <w:rFonts w:hint="eastAsia" w:ascii="黑体" w:eastAsia="黑体" w:cs="仿宋"/>
          <w:color w:val="auto"/>
          <w:lang w:val="en-US" w:eastAsia="zh-CN"/>
        </w:rPr>
      </w:pPr>
      <w:r>
        <w:rPr>
          <w:rFonts w:hint="eastAsia" w:ascii="黑体" w:eastAsia="黑体" w:cs="仿宋"/>
          <w:color w:val="auto"/>
        </w:rPr>
        <w:t>附件</w:t>
      </w:r>
      <w:r>
        <w:rPr>
          <w:rFonts w:hint="eastAsia" w:ascii="黑体" w:eastAsia="黑体" w:cs="仿宋"/>
          <w:color w:val="auto"/>
          <w:lang w:val="en-US" w:eastAsia="zh-CN"/>
        </w:rPr>
        <w:t>4</w:t>
      </w:r>
    </w:p>
    <w:tbl>
      <w:tblPr>
        <w:tblStyle w:val="3"/>
        <w:tblpPr w:leftFromText="180" w:rightFromText="180" w:vertAnchor="text" w:horzAnchor="page" w:tblpX="1537" w:tblpY="1021"/>
        <w:tblOverlap w:val="never"/>
        <w:tblW w:w="14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538"/>
        <w:gridCol w:w="1312"/>
        <w:gridCol w:w="1711"/>
        <w:gridCol w:w="1583"/>
        <w:gridCol w:w="1717"/>
        <w:gridCol w:w="1609"/>
        <w:gridCol w:w="1720"/>
        <w:gridCol w:w="879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napToGrid w:val="0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书院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纸质图书借阅量分值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分</w:t>
            </w: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入馆次数分值，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分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荐书分值，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20分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组织开展阅读推广活动，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10分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参与图书馆阅读推广活动，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20分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优秀学生读者和优秀教师读者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占比分值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20分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参加阅读推广活动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获得奖项分（附加分，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满分10分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综合</w:t>
            </w: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综合</w:t>
            </w:r>
          </w:p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仁智书院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精诚书院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崇德书院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德馨书院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羲和书院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智行书院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48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pStyle w:val="5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优秀阅读型书院综合评分表</w:t>
      </w:r>
    </w:p>
    <w:p/>
    <w:p>
      <w:pPr>
        <w:pStyle w:val="5"/>
        <w:spacing w:line="360" w:lineRule="auto"/>
        <w:ind w:firstLine="0" w:firstLineChars="0"/>
        <w:jc w:val="left"/>
        <w:rPr>
          <w:rFonts w:hint="eastAsia" w:hAnsi="仿宋" w:cs="仿宋"/>
          <w:color w:val="auto"/>
          <w:sz w:val="24"/>
          <w:szCs w:val="24"/>
          <w:lang w:val="en-US" w:eastAsia="zh-CN"/>
        </w:rPr>
      </w:pPr>
      <w:r>
        <w:rPr>
          <w:rFonts w:hint="eastAsia" w:hAnsi="仿宋" w:cs="仿宋"/>
          <w:color w:val="auto"/>
          <w:sz w:val="24"/>
          <w:szCs w:val="24"/>
          <w:lang w:val="en-US" w:eastAsia="zh-CN"/>
        </w:rPr>
        <w:t>附注：</w:t>
      </w:r>
    </w:p>
    <w:p>
      <w:pPr>
        <w:pStyle w:val="5"/>
        <w:spacing w:line="360" w:lineRule="auto"/>
        <w:ind w:firstLine="0" w:firstLineChars="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评分要点：</w:t>
      </w:r>
    </w:p>
    <w:p>
      <w:pPr>
        <w:pStyle w:val="5"/>
        <w:spacing w:line="360" w:lineRule="auto"/>
        <w:ind w:firstLine="0" w:firstLineChars="0"/>
        <w:jc w:val="left"/>
        <w:rPr>
          <w:rFonts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1. 总分值100分（不包括附加分）；</w:t>
      </w:r>
    </w:p>
    <w:p>
      <w:pPr>
        <w:pStyle w:val="5"/>
        <w:spacing w:line="360" w:lineRule="auto"/>
        <w:ind w:firstLine="0" w:firstLineChars="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hAnsi="仿宋" w:cs="仿宋"/>
          <w:color w:val="auto"/>
          <w:sz w:val="24"/>
          <w:szCs w:val="24"/>
        </w:rPr>
        <w:t>纸质图书借阅量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分值</w:t>
      </w:r>
      <w:r>
        <w:rPr>
          <w:rFonts w:hint="eastAsia" w:hAnsi="仿宋" w:cs="仿宋"/>
          <w:color w:val="auto"/>
          <w:sz w:val="24"/>
          <w:szCs w:val="24"/>
        </w:rPr>
        <w:t>，第一名为满分，满分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15</w:t>
      </w:r>
      <w:r>
        <w:rPr>
          <w:rFonts w:hint="eastAsia" w:hAnsi="仿宋" w:cs="仿宋"/>
          <w:color w:val="auto"/>
          <w:sz w:val="24"/>
          <w:szCs w:val="24"/>
        </w:rPr>
        <w:t>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5"/>
        <w:spacing w:line="360" w:lineRule="auto"/>
        <w:ind w:firstLine="0" w:firstLineChars="0"/>
        <w:jc w:val="left"/>
        <w:rPr>
          <w:rFonts w:hint="default" w:hAnsi="仿宋" w:cs="仿宋"/>
          <w:color w:val="auto"/>
          <w:sz w:val="24"/>
          <w:szCs w:val="24"/>
          <w:lang w:val="en-US" w:eastAsia="zh-CN"/>
        </w:rPr>
      </w:pPr>
      <w:r>
        <w:rPr>
          <w:rFonts w:hint="eastAsia" w:hAnsi="仿宋" w:cs="仿宋"/>
          <w:color w:val="auto"/>
          <w:sz w:val="24"/>
          <w:szCs w:val="24"/>
          <w:lang w:val="en-US" w:eastAsia="zh-CN"/>
        </w:rPr>
        <w:t>3.学生入馆次数分值，</w:t>
      </w:r>
      <w:r>
        <w:rPr>
          <w:rFonts w:hint="eastAsia" w:hAnsi="仿宋" w:cs="仿宋"/>
          <w:color w:val="auto"/>
          <w:sz w:val="24"/>
          <w:szCs w:val="24"/>
        </w:rPr>
        <w:t>第一名为满分，满分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15</w:t>
      </w:r>
      <w:r>
        <w:rPr>
          <w:rFonts w:hint="eastAsia" w:hAnsi="仿宋" w:cs="仿宋"/>
          <w:color w:val="auto"/>
          <w:sz w:val="24"/>
          <w:szCs w:val="24"/>
        </w:rPr>
        <w:t>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5"/>
        <w:spacing w:line="360" w:lineRule="auto"/>
        <w:ind w:firstLine="0" w:firstLineChars="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  <w:lang w:val="en-US" w:eastAsia="zh-CN"/>
        </w:rPr>
        <w:t>5.</w:t>
      </w:r>
      <w:r>
        <w:rPr>
          <w:rFonts w:hint="eastAsia" w:hAnsi="仿宋" w:cs="仿宋"/>
          <w:color w:val="auto"/>
          <w:sz w:val="24"/>
          <w:szCs w:val="24"/>
        </w:rPr>
        <w:t xml:space="preserve"> 参与教师荐读活动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分值</w:t>
      </w:r>
      <w:r>
        <w:rPr>
          <w:rFonts w:hint="eastAsia" w:hAnsi="仿宋" w:cs="仿宋"/>
          <w:color w:val="auto"/>
          <w:sz w:val="24"/>
          <w:szCs w:val="24"/>
        </w:rPr>
        <w:t>，第一名为满分，满分为20分，级差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5"/>
        <w:spacing w:line="360" w:lineRule="auto"/>
        <w:ind w:firstLine="0" w:firstLineChars="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4. 组织开展阅读推广活动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分值</w:t>
      </w:r>
      <w:r>
        <w:rPr>
          <w:rFonts w:hint="eastAsia" w:hAnsi="仿宋" w:cs="仿宋"/>
          <w:color w:val="auto"/>
          <w:sz w:val="24"/>
          <w:szCs w:val="24"/>
        </w:rPr>
        <w:t>，第一名为满分，满分为10分，级差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5"/>
        <w:spacing w:line="360" w:lineRule="auto"/>
        <w:ind w:firstLine="0" w:firstLineChars="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5. 参与图书馆阅读推广活动人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分值</w:t>
      </w:r>
      <w:r>
        <w:rPr>
          <w:rFonts w:hint="eastAsia" w:hAnsi="仿宋" w:cs="仿宋"/>
          <w:color w:val="auto"/>
          <w:sz w:val="24"/>
          <w:szCs w:val="24"/>
        </w:rPr>
        <w:t>，第一名为满分，满分为20分，级差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5"/>
        <w:spacing w:line="360" w:lineRule="auto"/>
        <w:ind w:firstLine="0" w:firstLineChars="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6. 优秀学生读者和优秀教师读者人数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分值</w:t>
      </w:r>
      <w:r>
        <w:rPr>
          <w:rFonts w:hint="eastAsia" w:hAnsi="仿宋" w:cs="仿宋"/>
          <w:color w:val="auto"/>
          <w:sz w:val="24"/>
          <w:szCs w:val="24"/>
        </w:rPr>
        <w:t>，第一名为满分，满分为20分，级差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5"/>
        <w:spacing w:line="360" w:lineRule="auto"/>
        <w:ind w:firstLine="0" w:firstLineChars="0"/>
        <w:jc w:val="left"/>
        <w:rPr>
          <w:rFonts w:hint="eastAsia" w:hAnsi="仿宋" w:cs="仿宋"/>
          <w:color w:val="auto"/>
          <w:sz w:val="24"/>
          <w:szCs w:val="24"/>
        </w:rPr>
      </w:pPr>
      <w:r>
        <w:rPr>
          <w:rFonts w:hint="eastAsia" w:hAnsi="仿宋" w:cs="仿宋"/>
          <w:color w:val="auto"/>
          <w:sz w:val="24"/>
          <w:szCs w:val="24"/>
        </w:rPr>
        <w:t>7. 附加分：在图书馆举办的阅读推广活动获得奖项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分值</w:t>
      </w:r>
      <w:r>
        <w:rPr>
          <w:rFonts w:hint="eastAsia" w:hAnsi="仿宋" w:cs="仿宋"/>
          <w:color w:val="auto"/>
          <w:sz w:val="24"/>
          <w:szCs w:val="24"/>
        </w:rPr>
        <w:t>，第一名为满分，满分为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10</w:t>
      </w:r>
      <w:r>
        <w:rPr>
          <w:rFonts w:hint="eastAsia" w:hAnsi="仿宋" w:cs="仿宋"/>
          <w:color w:val="auto"/>
          <w:sz w:val="24"/>
          <w:szCs w:val="24"/>
        </w:rPr>
        <w:t>分，级差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hAnsi="仿宋" w:cs="仿宋"/>
          <w:color w:val="auto"/>
          <w:sz w:val="24"/>
          <w:szCs w:val="24"/>
        </w:rPr>
        <w:t>分；</w:t>
      </w:r>
    </w:p>
    <w:p>
      <w:pPr>
        <w:pStyle w:val="5"/>
        <w:spacing w:line="360" w:lineRule="auto"/>
        <w:ind w:firstLine="0" w:firstLineChars="0"/>
        <w:jc w:val="left"/>
        <w:rPr>
          <w:rFonts w:hint="eastAsia" w:ascii="����" w:hAnsi="����" w:cs="宋体"/>
          <w:color w:val="auto"/>
          <w:spacing w:val="-6"/>
        </w:rPr>
      </w:pPr>
      <w:r>
        <w:rPr>
          <w:rFonts w:hint="eastAsia" w:hAnsi="仿宋" w:cs="仿宋"/>
          <w:color w:val="auto"/>
          <w:sz w:val="24"/>
          <w:szCs w:val="24"/>
        </w:rPr>
        <w:t>8.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hAnsi="仿宋" w:cs="仿宋"/>
          <w:color w:val="auto"/>
          <w:sz w:val="24"/>
          <w:szCs w:val="24"/>
        </w:rPr>
        <w:t>以累计排名第一为优秀阅读组织，名次并列者，以入馆次数得分最高为</w:t>
      </w:r>
      <w:r>
        <w:rPr>
          <w:rFonts w:hint="eastAsia" w:hAnsi="仿宋" w:cs="仿宋"/>
          <w:color w:val="auto"/>
          <w:sz w:val="24"/>
          <w:szCs w:val="24"/>
          <w:lang w:val="en-US" w:eastAsia="zh-CN"/>
        </w:rPr>
        <w:t>参考</w:t>
      </w:r>
      <w:r>
        <w:rPr>
          <w:rFonts w:hint="eastAsia" w:hAnsi="仿宋" w:cs="仿宋"/>
          <w:color w:val="auto"/>
          <w:sz w:val="24"/>
          <w:szCs w:val="24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5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2023-03-19T11:36:06Z</dcterms:created>
  <dc:creator>Administrator</dc:creator>
  <cp:lastModifiedBy>Administrator</cp:lastModifiedBy>
  <dcterms:modified xsi:type="dcterms:W3CDTF">2023-03-19T11:36:56Z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