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优秀学生读者评选综合评分表</w:t>
      </w:r>
    </w:p>
    <w:tbl>
      <w:tblPr>
        <w:tblStyle w:val="2"/>
        <w:tblpPr w:leftFromText="180" w:rightFromText="180" w:vertAnchor="text" w:horzAnchor="page" w:tblpX="1800" w:tblpY="332"/>
        <w:tblOverlap w:val="never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24"/>
        <w:gridCol w:w="2291"/>
        <w:gridCol w:w="2182"/>
        <w:gridCol w:w="2014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   号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2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遵守图书馆的借阅规定，借阅无违章，共3分。违章1次扣1分，最多扣3分。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ind w:right="113"/>
              <w:jc w:val="left"/>
              <w:rPr>
                <w:rFonts w:hint="default" w:ascii="仿宋" w:hAnsi="仿宋" w:eastAsia="仿宋" w:cs="仿宋"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研修室使用次数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排名前200名者计10分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纸质图书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借阅量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排名前200名者计20分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7011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参加或协助组织策划图书馆举办的阅读推广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</w:rPr>
              <w:t>，一项计4分，共20分，本项最多记20分。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7011" w:type="dxa"/>
            <w:gridSpan w:val="4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在图书馆组织举办的阅读推广活动中获得奖项，一项计5分，共20分，本项最多计20分。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7011" w:type="dxa"/>
            <w:gridSpan w:val="4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参加图书馆志愿者服务，共10分，本项最多记10分。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参与志愿者服务并服务满一学期者加5分，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满两学期者加10分。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如期间获得优秀志愿者加10分，不累加。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7011" w:type="dxa"/>
            <w:gridSpan w:val="4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分享读书感想投稿到馆学长微咖并被采用，一篇记2分，本项最多计10分。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701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参与图书馆馆藏文化建设，荐购图书工作，每推荐1本图书计1分，共5分，本项最多计5分。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78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2023-03-19T11:28:18Z</dcterms:created>
  <dc:creator>Administrator</dc:creator>
  <cp:lastModifiedBy>Administrator</cp:lastModifiedBy>
  <dcterms:modified xsi:type="dcterms:W3CDTF">2023-03-19T11:29:00Z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